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baseline"/>
        <w:rPr>
          <w:rFonts w:hint="default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vertAlign w:val="baseli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退役军人事务部退役军人信息中心2022年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公开招聘高校应届毕业生面试名单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（按姓名拼音排序）</w:t>
      </w:r>
    </w:p>
    <w:tbl>
      <w:tblPr>
        <w:tblStyle w:val="4"/>
        <w:tblpPr w:leftFromText="180" w:rightFromText="180" w:vertAnchor="text" w:horzAnchor="page" w:tblpX="1587" w:tblpY="2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955"/>
        <w:gridCol w:w="1954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</w:trPr>
        <w:tc>
          <w:tcPr>
            <w:tcW w:w="2024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  <w:t>面试时间</w:t>
            </w:r>
          </w:p>
        </w:tc>
        <w:tc>
          <w:tcPr>
            <w:tcW w:w="2027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  <w:t>招聘岗位</w:t>
            </w:r>
          </w:p>
        </w:tc>
        <w:tc>
          <w:tcPr>
            <w:tcW w:w="2026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  <w:t>考生姓名</w:t>
            </w:r>
          </w:p>
        </w:tc>
        <w:tc>
          <w:tcPr>
            <w:tcW w:w="2648" w:type="dxa"/>
            <w:noWrap w:val="0"/>
            <w:vAlign w:val="top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30"/>
                <w:szCs w:val="30"/>
                <w:vertAlign w:val="baseline"/>
                <w:lang w:eastAsia="zh-CN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（星期四）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2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综合管理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01岗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陈晓雯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110106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冯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卉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430381*******9208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李泉莹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110228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孟祥辰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110104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萌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110222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尹东相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370724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张若凡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110101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综合管理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02岗</w:t>
            </w: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陈文锦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320311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</w:trPr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崔世佳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130532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9523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唐子明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120107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王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坤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140522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袁秀华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370983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2320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宁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210904*******1029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0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张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扬</w:t>
            </w:r>
          </w:p>
        </w:tc>
        <w:tc>
          <w:tcPr>
            <w:tcW w:w="264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130121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*******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  <w:t>1021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B8894"/>
    <w:rsid w:val="6FF32867"/>
    <w:rsid w:val="F5FB8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2022-06-25T00:09:00Z</dcterms:created>
  <dc:creator>user</dc:creator>
  <cp:lastModifiedBy>user</cp:lastModifiedBy>
  <dcterms:modified xsi:type="dcterms:W3CDTF">2022-06-24T16:20:31Z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